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1B0A2" w14:textId="77777777" w:rsidR="00AC2A97" w:rsidRPr="00CB2588" w:rsidRDefault="00AC2A97" w:rsidP="00AC2A97">
      <w:pPr>
        <w:spacing w:after="0" w:line="480" w:lineRule="auto"/>
        <w:rPr>
          <w:rFonts w:ascii="Times New Roman" w:hAnsi="Times New Roman" w:cs="Times New Roman"/>
          <w:sz w:val="24"/>
          <w:szCs w:val="24"/>
        </w:rPr>
      </w:pPr>
    </w:p>
    <w:p w14:paraId="285228BF" w14:textId="77777777" w:rsidR="00AC2A97" w:rsidRPr="00CB2588" w:rsidRDefault="00AC2A97" w:rsidP="00AC2A97">
      <w:pPr>
        <w:spacing w:after="0" w:line="480" w:lineRule="auto"/>
        <w:rPr>
          <w:rFonts w:ascii="Times New Roman" w:hAnsi="Times New Roman" w:cs="Times New Roman"/>
          <w:sz w:val="24"/>
          <w:szCs w:val="24"/>
        </w:rPr>
      </w:pPr>
    </w:p>
    <w:p w14:paraId="72F1DE75" w14:textId="77777777" w:rsidR="00AC2A97" w:rsidRPr="00CB2588" w:rsidRDefault="00AC2A97" w:rsidP="00AC2A97">
      <w:pPr>
        <w:spacing w:after="0" w:line="480" w:lineRule="auto"/>
        <w:rPr>
          <w:rFonts w:ascii="Times New Roman" w:hAnsi="Times New Roman" w:cs="Times New Roman"/>
          <w:sz w:val="24"/>
          <w:szCs w:val="24"/>
        </w:rPr>
      </w:pPr>
    </w:p>
    <w:p w14:paraId="43F01BC0" w14:textId="77777777" w:rsidR="00AC2A97" w:rsidRPr="00CB2588" w:rsidRDefault="00AC2A97" w:rsidP="00AC2A97">
      <w:pPr>
        <w:spacing w:after="0" w:line="480" w:lineRule="auto"/>
        <w:rPr>
          <w:rFonts w:ascii="Times New Roman" w:hAnsi="Times New Roman" w:cs="Times New Roman"/>
          <w:sz w:val="24"/>
          <w:szCs w:val="24"/>
        </w:rPr>
      </w:pPr>
    </w:p>
    <w:p w14:paraId="6D65684B" w14:textId="77777777" w:rsidR="00AC2A97" w:rsidRPr="00CB2588" w:rsidRDefault="00AC2A97" w:rsidP="00AC2A97">
      <w:pPr>
        <w:spacing w:after="0" w:line="480" w:lineRule="auto"/>
        <w:rPr>
          <w:rFonts w:ascii="Times New Roman" w:hAnsi="Times New Roman" w:cs="Times New Roman"/>
          <w:sz w:val="24"/>
          <w:szCs w:val="24"/>
        </w:rPr>
      </w:pPr>
    </w:p>
    <w:p w14:paraId="665EF364" w14:textId="77777777" w:rsidR="00AC2A97" w:rsidRPr="00CB2588" w:rsidRDefault="00AC2A97" w:rsidP="00AC2A97">
      <w:pPr>
        <w:spacing w:after="0" w:line="480" w:lineRule="auto"/>
        <w:rPr>
          <w:rFonts w:ascii="Times New Roman" w:hAnsi="Times New Roman" w:cs="Times New Roman"/>
          <w:sz w:val="24"/>
          <w:szCs w:val="24"/>
        </w:rPr>
      </w:pPr>
    </w:p>
    <w:p w14:paraId="63AC1DC4" w14:textId="77777777" w:rsidR="00AC2A97" w:rsidRPr="00CB2588" w:rsidRDefault="00AC2A97" w:rsidP="00AC2A97">
      <w:pPr>
        <w:spacing w:after="0" w:line="480" w:lineRule="auto"/>
        <w:rPr>
          <w:rFonts w:ascii="Times New Roman" w:hAnsi="Times New Roman" w:cs="Times New Roman"/>
          <w:sz w:val="24"/>
          <w:szCs w:val="24"/>
        </w:rPr>
      </w:pPr>
    </w:p>
    <w:p w14:paraId="5CFECB42" w14:textId="77777777" w:rsidR="00AC2A97" w:rsidRPr="00CB2588" w:rsidRDefault="00AC2A97" w:rsidP="00AC2A97">
      <w:pPr>
        <w:spacing w:after="0" w:line="480" w:lineRule="auto"/>
        <w:rPr>
          <w:rFonts w:ascii="Times New Roman" w:hAnsi="Times New Roman" w:cs="Times New Roman"/>
          <w:sz w:val="24"/>
          <w:szCs w:val="24"/>
        </w:rPr>
      </w:pPr>
    </w:p>
    <w:p w14:paraId="35C881C3" w14:textId="77777777" w:rsidR="00AC2A97" w:rsidRPr="00CB2588" w:rsidRDefault="00AC2A97" w:rsidP="00AC2A97">
      <w:pPr>
        <w:spacing w:after="0" w:line="480" w:lineRule="auto"/>
        <w:rPr>
          <w:rFonts w:ascii="Times New Roman" w:hAnsi="Times New Roman" w:cs="Times New Roman"/>
          <w:sz w:val="24"/>
          <w:szCs w:val="24"/>
        </w:rPr>
      </w:pPr>
    </w:p>
    <w:p w14:paraId="6826E70F" w14:textId="5185B3B4" w:rsidR="00AC2A97" w:rsidRPr="00CB2588" w:rsidRDefault="00B31EE2" w:rsidP="00AC2A97">
      <w:pPr>
        <w:spacing w:after="0" w:line="480" w:lineRule="auto"/>
        <w:jc w:val="center"/>
        <w:rPr>
          <w:rFonts w:ascii="Times New Roman" w:hAnsi="Times New Roman" w:cs="Times New Roman"/>
          <w:sz w:val="24"/>
          <w:szCs w:val="24"/>
        </w:rPr>
      </w:pPr>
      <w:r w:rsidRPr="00CB2588">
        <w:rPr>
          <w:rFonts w:ascii="Times New Roman" w:hAnsi="Times New Roman" w:cs="Times New Roman"/>
          <w:sz w:val="24"/>
          <w:szCs w:val="24"/>
        </w:rPr>
        <w:t>The Connective</w:t>
      </w:r>
    </w:p>
    <w:p w14:paraId="377B26C2" w14:textId="16A8B191" w:rsidR="00AC2A97" w:rsidRPr="00CB2588" w:rsidRDefault="00B31EE2" w:rsidP="00AC2A97">
      <w:pPr>
        <w:spacing w:after="0" w:line="480" w:lineRule="auto"/>
        <w:jc w:val="center"/>
        <w:rPr>
          <w:rFonts w:ascii="Times New Roman" w:hAnsi="Times New Roman" w:cs="Times New Roman"/>
          <w:sz w:val="24"/>
          <w:szCs w:val="24"/>
        </w:rPr>
      </w:pPr>
      <w:r w:rsidRPr="00CB2588">
        <w:rPr>
          <w:rFonts w:ascii="Times New Roman" w:hAnsi="Times New Roman" w:cs="Times New Roman"/>
          <w:sz w:val="24"/>
          <w:szCs w:val="24"/>
        </w:rPr>
        <w:t>Marquita Y. Taylor</w:t>
      </w:r>
    </w:p>
    <w:p w14:paraId="0A8AA111" w14:textId="70EFF08B" w:rsidR="00AC2A97" w:rsidRPr="00CB2588" w:rsidRDefault="00B31EE2" w:rsidP="00AC2A97">
      <w:pPr>
        <w:spacing w:after="0" w:line="480" w:lineRule="auto"/>
        <w:jc w:val="center"/>
        <w:rPr>
          <w:rFonts w:ascii="Times New Roman" w:hAnsi="Times New Roman" w:cs="Times New Roman"/>
          <w:sz w:val="24"/>
          <w:szCs w:val="24"/>
        </w:rPr>
      </w:pPr>
      <w:r w:rsidRPr="00CB2588">
        <w:rPr>
          <w:rFonts w:ascii="Times New Roman" w:hAnsi="Times New Roman" w:cs="Times New Roman"/>
          <w:sz w:val="24"/>
          <w:szCs w:val="24"/>
        </w:rPr>
        <w:t>Berkeley College</w:t>
      </w:r>
    </w:p>
    <w:p w14:paraId="4F1ACE82" w14:textId="77777777" w:rsidR="00CB2588" w:rsidRDefault="00CB2588">
      <w:pP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14:paraId="5B2E6DD8" w14:textId="6C929995" w:rsidR="00C345FA" w:rsidRPr="00CB2588" w:rsidRDefault="00B31EE2" w:rsidP="00C345FA">
      <w:pPr>
        <w:spacing w:after="0" w:line="480" w:lineRule="auto"/>
        <w:jc w:val="center"/>
        <w:rPr>
          <w:rFonts w:ascii="Times New Roman" w:hAnsi="Times New Roman" w:cs="Times New Roman"/>
          <w:b/>
          <w:sz w:val="24"/>
          <w:szCs w:val="24"/>
        </w:rPr>
      </w:pPr>
      <w:r w:rsidRPr="00CB2588">
        <w:rPr>
          <w:rFonts w:ascii="Times New Roman" w:hAnsi="Times New Roman" w:cs="Times New Roman"/>
          <w:b/>
          <w:sz w:val="24"/>
          <w:szCs w:val="24"/>
        </w:rPr>
        <w:lastRenderedPageBreak/>
        <w:t>The Connective Competitive Analysis</w:t>
      </w:r>
    </w:p>
    <w:p w14:paraId="1F38E4F1" w14:textId="77777777" w:rsidR="00C345FA" w:rsidRPr="00CB2588" w:rsidRDefault="00B31EE2" w:rsidP="00CB2588">
      <w:pPr>
        <w:spacing w:after="0" w:line="480" w:lineRule="auto"/>
        <w:ind w:firstLine="720"/>
        <w:rPr>
          <w:rFonts w:ascii="Times New Roman" w:hAnsi="Times New Roman" w:cs="Times New Roman"/>
          <w:b/>
          <w:sz w:val="24"/>
          <w:szCs w:val="24"/>
        </w:rPr>
      </w:pPr>
      <w:r w:rsidRPr="00CB2588">
        <w:rPr>
          <w:rFonts w:ascii="Times New Roman" w:hAnsi="Times New Roman" w:cs="Times New Roman"/>
          <w:b/>
          <w:sz w:val="24"/>
          <w:szCs w:val="24"/>
        </w:rPr>
        <w:t>Competitors</w:t>
      </w:r>
    </w:p>
    <w:p w14:paraId="64B3B37C" w14:textId="25FB55BE" w:rsidR="00C345FA"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The Connective operates as a marketing brokerage company that focuses its activities in the United States. In this location, it faces stiff competition from companies that had already established themselves in the market. Transworld and Sunbelt are the companies intensify the competition in the brokerage industry. There is a specific number of rules and policies that govern the industry, and they are subjective to changes depending on the states that the company operates. Rules and laws are dynamic, and the best way to understand them is by benchmarking the activities of companies that existed before you (Bouranta &amp; Psomas, 2017). For the competitive analysis to be complete, there must be the element of studying the underlying consumer trends. This concept helps a growing company. The Connective to set its ethical, financial, social and operational standards on a clear baseline. Sunbelt tops the list of competitors because it has established globally and it specializes in linking big companies. Transworld has a reputation for closing deals for small and mid-sized companies, and it is the best company that can share baseline information to transform the activities of The Connective.</w:t>
      </w:r>
    </w:p>
    <w:p w14:paraId="5CF99641" w14:textId="77777777" w:rsidR="00C345FA" w:rsidRPr="00CB2588" w:rsidRDefault="00B31EE2" w:rsidP="00CB2588">
      <w:pPr>
        <w:spacing w:after="0" w:line="480" w:lineRule="auto"/>
        <w:ind w:firstLine="720"/>
        <w:rPr>
          <w:rFonts w:ascii="Times New Roman" w:hAnsi="Times New Roman" w:cs="Times New Roman"/>
          <w:b/>
          <w:sz w:val="24"/>
          <w:szCs w:val="24"/>
        </w:rPr>
      </w:pPr>
      <w:r w:rsidRPr="00CB2588">
        <w:rPr>
          <w:rFonts w:ascii="Times New Roman" w:hAnsi="Times New Roman" w:cs="Times New Roman"/>
          <w:b/>
          <w:sz w:val="24"/>
          <w:szCs w:val="24"/>
        </w:rPr>
        <w:t>Competition</w:t>
      </w:r>
    </w:p>
    <w:p w14:paraId="6E061F44" w14:textId="2CDB0111" w:rsidR="00C345FA"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Competition in the brokerage industry is not very stiff like it is in other sectors. Prices do not influence consumer behavior, and this cannot be a threat to existing companies. Most brokerage companies operate under the regulation of the Certified Business Intermediaries (CBI), and International Business Broker Association (IBBA) and their brokers have to pass through the vetting process before they are allowed to operate in any jurisdiction. This concept shows that there are strict rules that guide the industry. Competition is fair because most brokers get a share of between 10 percent and 12 percent of the total value of the deal upon closure (Fleisher &amp; </w:t>
      </w:r>
      <w:r w:rsidRPr="00CB2588">
        <w:rPr>
          <w:rFonts w:ascii="Times New Roman" w:hAnsi="Times New Roman" w:cs="Times New Roman"/>
          <w:sz w:val="24"/>
          <w:szCs w:val="24"/>
        </w:rPr>
        <w:lastRenderedPageBreak/>
        <w:t>Bensoussan, 2015). This regulation applies to Sunbelt and Transworld companies, for The Connective, the brokers get 50 percent of the full share upon the closing of the business.</w:t>
      </w:r>
    </w:p>
    <w:p w14:paraId="7BEA63DE" w14:textId="77777777" w:rsidR="00C345FA" w:rsidRPr="00CB2588" w:rsidRDefault="00B31EE2" w:rsidP="00CB2588">
      <w:pPr>
        <w:spacing w:after="0" w:line="480" w:lineRule="auto"/>
        <w:ind w:firstLine="720"/>
        <w:rPr>
          <w:rFonts w:ascii="Times New Roman" w:hAnsi="Times New Roman" w:cs="Times New Roman"/>
          <w:b/>
          <w:sz w:val="24"/>
          <w:szCs w:val="24"/>
        </w:rPr>
      </w:pPr>
      <w:r w:rsidRPr="00CB2588">
        <w:rPr>
          <w:rFonts w:ascii="Times New Roman" w:hAnsi="Times New Roman" w:cs="Times New Roman"/>
          <w:b/>
          <w:sz w:val="24"/>
          <w:szCs w:val="24"/>
        </w:rPr>
        <w:t>Suppliers</w:t>
      </w:r>
    </w:p>
    <w:p w14:paraId="6A0638B4" w14:textId="3F579B91" w:rsidR="00C345FA"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The question of the suppliers of the brokerage is open-ended. Partners that have contracts with brokerage companies can provide its goods and services to any client given to it by the brokerage company. There may be more than one partner than offers specific products and services. Depending on the needs of the client, the brokerage company has the authority to choose a partner that meets the needs of the client best. This guideline unveils the concept of confidentiality that is paramount in the brokerage industry (Jayant, Giri, Singh &amp; Luthra, 2018). Suppliers can range from financial institutions, resorts, bars, offices, logistic companies, security companies et cetera. The list endless and the type of industries cannot restrict it. Suppliers have no power in the industry if they are displeased by the products or services they get from their broker partner they can partner with other companies that suit their needs. </w:t>
      </w:r>
    </w:p>
    <w:p w14:paraId="0BBA3161" w14:textId="77777777" w:rsidR="00C345FA" w:rsidRPr="00CB2588" w:rsidRDefault="00B31EE2" w:rsidP="00CB2588">
      <w:pPr>
        <w:spacing w:after="0" w:line="480" w:lineRule="auto"/>
        <w:ind w:firstLine="720"/>
        <w:rPr>
          <w:rFonts w:ascii="Times New Roman" w:hAnsi="Times New Roman" w:cs="Times New Roman"/>
          <w:b/>
          <w:sz w:val="24"/>
          <w:szCs w:val="24"/>
        </w:rPr>
      </w:pPr>
      <w:r w:rsidRPr="00CB2588">
        <w:rPr>
          <w:rFonts w:ascii="Times New Roman" w:hAnsi="Times New Roman" w:cs="Times New Roman"/>
          <w:b/>
          <w:sz w:val="24"/>
          <w:szCs w:val="24"/>
        </w:rPr>
        <w:t>Consumers</w:t>
      </w:r>
    </w:p>
    <w:p w14:paraId="0104FD81" w14:textId="5AF39F0B" w:rsidR="00C345FA"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There is a unique identifier placed on clients that interact with brokerage companies. Clients are usually the products that brokerage companies sell to their partners. After referral of clients to their partner's products and services, there are two ways that the business can end. The brokers may transact the deal on behalf of the client and receive their share, or they wait for financial commissions from the brokerage companies that employ them after the transaction has closed. The links, or what is popularly known as the connections, are what </w:t>
      </w:r>
      <w:r w:rsidR="003F3387" w:rsidRPr="00CB2588">
        <w:rPr>
          <w:rFonts w:ascii="Times New Roman" w:hAnsi="Times New Roman" w:cs="Times New Roman"/>
          <w:sz w:val="24"/>
          <w:szCs w:val="24"/>
        </w:rPr>
        <w:t>defines</w:t>
      </w:r>
      <w:r w:rsidRPr="00CB2588">
        <w:rPr>
          <w:rFonts w:ascii="Times New Roman" w:hAnsi="Times New Roman" w:cs="Times New Roman"/>
          <w:sz w:val="24"/>
          <w:szCs w:val="24"/>
        </w:rPr>
        <w:t xml:space="preserve"> the success or failure of a business (Viswanadham, 2018). As such business grow, they meet new clients and form new links that broaden the base of the companies. This reason asserts the theory that the more a brokerage company exists, the more it transacts businesses. Consumers cannot determine the </w:t>
      </w:r>
      <w:r w:rsidRPr="00CB2588">
        <w:rPr>
          <w:rFonts w:ascii="Times New Roman" w:hAnsi="Times New Roman" w:cs="Times New Roman"/>
          <w:sz w:val="24"/>
          <w:szCs w:val="24"/>
        </w:rPr>
        <w:lastRenderedPageBreak/>
        <w:t>direction of the company in this case, and this is the reason why there must be state and federal regulations to deter malpractice.</w:t>
      </w:r>
    </w:p>
    <w:p w14:paraId="377DF83C" w14:textId="77777777" w:rsidR="00C345FA" w:rsidRPr="00CB2588" w:rsidRDefault="00B31EE2" w:rsidP="00CB2588">
      <w:pPr>
        <w:spacing w:after="0" w:line="480" w:lineRule="auto"/>
        <w:ind w:firstLine="720"/>
        <w:rPr>
          <w:rFonts w:ascii="Times New Roman" w:hAnsi="Times New Roman" w:cs="Times New Roman"/>
          <w:b/>
          <w:sz w:val="24"/>
          <w:szCs w:val="24"/>
        </w:rPr>
      </w:pPr>
      <w:r w:rsidRPr="00CB2588">
        <w:rPr>
          <w:rFonts w:ascii="Times New Roman" w:hAnsi="Times New Roman" w:cs="Times New Roman"/>
          <w:b/>
          <w:sz w:val="24"/>
          <w:szCs w:val="24"/>
        </w:rPr>
        <w:t>Switching Products and Services</w:t>
      </w:r>
    </w:p>
    <w:p w14:paraId="76A8DC61" w14:textId="1560EDAC" w:rsidR="00C345FA"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The probability of consumers switching from one brokerage company's products and services to another is very low. Some regulations ensure fairness in the industry and breaching would lead to revocation of operating licenses and deregistration from company listings. One significant advantage of this venture is that there underpricing is discouraged and this drives the revenue of the named company. Price factors are always a trigger to client product and service switch, but when such regulations pass the implementation stage, the switch rate significantly reduces (Viswanadham, 2018). A switch may only occur if the approached brokerage company does not have primary or second links with the desired products or services. Then there is the element of information confinement among brokerage companies in the sense that they cannot share client or partner links. The atmosphere is entirely capitalistic, and each company tries to overpower its external competition. </w:t>
      </w:r>
    </w:p>
    <w:p w14:paraId="471B5E96" w14:textId="77777777" w:rsidR="00C345FA" w:rsidRPr="00CB2588" w:rsidRDefault="00B31EE2" w:rsidP="00CB2588">
      <w:pPr>
        <w:spacing w:after="0" w:line="480" w:lineRule="auto"/>
        <w:ind w:firstLine="720"/>
        <w:rPr>
          <w:rFonts w:ascii="Times New Roman" w:hAnsi="Times New Roman" w:cs="Times New Roman"/>
          <w:b/>
          <w:sz w:val="24"/>
          <w:szCs w:val="24"/>
        </w:rPr>
      </w:pPr>
      <w:r w:rsidRPr="00CB2588">
        <w:rPr>
          <w:rFonts w:ascii="Times New Roman" w:hAnsi="Times New Roman" w:cs="Times New Roman"/>
          <w:b/>
          <w:sz w:val="24"/>
          <w:szCs w:val="24"/>
        </w:rPr>
        <w:t>New Competition</w:t>
      </w:r>
    </w:p>
    <w:p w14:paraId="5397268B" w14:textId="0BAFF6A4" w:rsidR="00C345FA"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 Competition is a factor that drives the excellence of any product and service. There must be an aspect of competition in almost all products and services for customers to get a value for their money. Lately, brokerage companies have been diversifying their products and services to offer full packages. Drafting of Business valuation reports and partial financing are some of the latest additions to the earlier packages. One importance of the named indulgences is that they help foster loyalty among its clients. Entry barriers in the brokerage industry are very high. Though technology; especially social media, has revolutionized how people interact, there is still the problematic physical aspect of meeting people as clients or partners (Jayant, Giri, Singh &amp; </w:t>
      </w:r>
      <w:r w:rsidRPr="00CB2588">
        <w:rPr>
          <w:rFonts w:ascii="Times New Roman" w:hAnsi="Times New Roman" w:cs="Times New Roman"/>
          <w:sz w:val="24"/>
          <w:szCs w:val="24"/>
        </w:rPr>
        <w:lastRenderedPageBreak/>
        <w:t>Luthra, 2018). Many deals that any brokerage company completes are done face to face because they instill a sense of trust in the customers or partners. Moreover, brokerage companies grow their bases on referrals. This twist makes it extremely hard for emerging brokerage companies to get clients and partners it needs to improve.</w:t>
      </w:r>
    </w:p>
    <w:p w14:paraId="68AE8D91" w14:textId="77777777" w:rsidR="00C345FA" w:rsidRPr="00CB2588" w:rsidRDefault="00B31EE2" w:rsidP="00CB2588">
      <w:pPr>
        <w:spacing w:after="0" w:line="480" w:lineRule="auto"/>
        <w:ind w:firstLine="720"/>
        <w:contextualSpacing/>
        <w:rPr>
          <w:rFonts w:ascii="Times New Roman" w:hAnsi="Times New Roman" w:cs="Times New Roman"/>
          <w:b/>
          <w:sz w:val="24"/>
          <w:szCs w:val="24"/>
        </w:rPr>
      </w:pPr>
      <w:r w:rsidRPr="00CB2588">
        <w:rPr>
          <w:rFonts w:ascii="Times New Roman" w:hAnsi="Times New Roman" w:cs="Times New Roman"/>
          <w:b/>
          <w:sz w:val="24"/>
          <w:szCs w:val="24"/>
        </w:rPr>
        <w:t xml:space="preserve">The Connective </w:t>
      </w:r>
    </w:p>
    <w:p w14:paraId="0B79E32C" w14:textId="77777777" w:rsidR="00C345FA" w:rsidRPr="00CB2588" w:rsidRDefault="00B31EE2" w:rsidP="00CB2588">
      <w:pPr>
        <w:spacing w:after="0" w:line="480" w:lineRule="auto"/>
        <w:ind w:firstLine="720"/>
        <w:contextualSpacing/>
        <w:jc w:val="both"/>
        <w:rPr>
          <w:rFonts w:ascii="Times New Roman" w:hAnsi="Times New Roman" w:cs="Times New Roman"/>
          <w:sz w:val="24"/>
          <w:szCs w:val="24"/>
        </w:rPr>
      </w:pPr>
      <w:r w:rsidRPr="00CB2588">
        <w:rPr>
          <w:rFonts w:ascii="Times New Roman" w:hAnsi="Times New Roman" w:cs="Times New Roman"/>
          <w:sz w:val="24"/>
          <w:szCs w:val="24"/>
        </w:rPr>
        <w:t xml:space="preserve">Connective is one of the fastest growing companies in the brokerage sector. This fact gets justified by the number of companies that are signing up to be partners. Operations of brokerage companies heavily rely on the physical and online presence in the market. It is merely the best way that buyers and sellers may see the need for the service. Any company's traditional strategies of sourcing products or services heavily rely on research, a gap that The Connective company fills offering ready-made clients inform of partners (Fleisher &amp; Bensoussan, 2015). The market is tightknit, and its expansion model depends on referrals from previous or present. A clear dissection from a business perspective indicates that this model has many variables that can hinder the growth of a company more than it can facilitate it. Customer satisfaction is an essential factor in ensuring that the brand is visible, and the referrals are positive. Any dissatisfaction to clients halts the company's plan of acquiring more clients. </w:t>
      </w:r>
    </w:p>
    <w:p w14:paraId="5E0CCD40" w14:textId="77777777" w:rsidR="00C345FA" w:rsidRPr="00CB2588" w:rsidRDefault="00B31EE2" w:rsidP="00CB2588">
      <w:pPr>
        <w:spacing w:after="0" w:line="480" w:lineRule="auto"/>
        <w:ind w:firstLine="720"/>
        <w:contextualSpacing/>
        <w:jc w:val="both"/>
        <w:rPr>
          <w:rFonts w:ascii="Times New Roman" w:hAnsi="Times New Roman" w:cs="Times New Roman"/>
          <w:sz w:val="24"/>
          <w:szCs w:val="24"/>
        </w:rPr>
      </w:pPr>
      <w:r w:rsidRPr="00CB2588">
        <w:rPr>
          <w:rFonts w:ascii="Times New Roman" w:hAnsi="Times New Roman" w:cs="Times New Roman"/>
          <w:sz w:val="24"/>
          <w:szCs w:val="24"/>
        </w:rPr>
        <w:t xml:space="preserve">Currently, the connective company links small and medium business companies. There is an ongoing campaign to design and implement strategies that will enroll big companies as partners. It is only through big partners that big clients will request for the connective services. This tactic is also essential in enhancing the visibility of the brand. Operations need to be delocalized and emulate the models of competitors that operate on a continental and global stage (Viswanadham, 2018). The size of a company gets measured by the customer base it has and the market share it controls. For this factor to get ascertained, the former clients of the company plus </w:t>
      </w:r>
      <w:r w:rsidRPr="00CB2588">
        <w:rPr>
          <w:rFonts w:ascii="Times New Roman" w:hAnsi="Times New Roman" w:cs="Times New Roman"/>
          <w:sz w:val="24"/>
          <w:szCs w:val="24"/>
        </w:rPr>
        <w:lastRenderedPageBreak/>
        <w:t xml:space="preserve">the services or products it offered must be critically analyzed. According to the strength, weakness, opportunity and threat model of the company, the connective cannot ascertain all the named variables. </w:t>
      </w:r>
    </w:p>
    <w:p w14:paraId="2C2AE7EB" w14:textId="77777777" w:rsidR="00C345FA" w:rsidRPr="00CB2588" w:rsidRDefault="00B31EE2" w:rsidP="00CB2588">
      <w:pPr>
        <w:spacing w:after="0" w:line="480" w:lineRule="auto"/>
        <w:ind w:firstLine="720"/>
        <w:contextualSpacing/>
        <w:jc w:val="both"/>
        <w:rPr>
          <w:rFonts w:ascii="Times New Roman" w:hAnsi="Times New Roman" w:cs="Times New Roman"/>
          <w:sz w:val="24"/>
          <w:szCs w:val="24"/>
        </w:rPr>
      </w:pPr>
      <w:r w:rsidRPr="00CB2588">
        <w:rPr>
          <w:rFonts w:ascii="Times New Roman" w:hAnsi="Times New Roman" w:cs="Times New Roman"/>
          <w:sz w:val="24"/>
          <w:szCs w:val="24"/>
        </w:rPr>
        <w:t>The vetting process is a daunting task for the Connective, but it is worth noting that no one has all the answers. In this regard, the Connective strives to maintain high standards of a truism in the face of challenges that are associated with the transformative age.  The company challenges its partners to new ideas that foster collaboration efforts.  Collaboration entails combining resources and work towards achieving common goals. The communication framework is flexible enough to allow the collaborators to share their opinions. Emphasis is put on what the partners are bringing to the table and the alignment of the operations with the values of the company. The components that make strong partnerships should be strong enough to ensure that the collaborative ecosystem does not fall apart. Even though the vetting process of the connective cannot guarantee the suitability of the incoming partners, the company requires that the latter the requirements above. For assurance, the connective can connect the company to small-sized clients and assess the satisfaction percentage of the products or goods it received. Also, the company is endeavoring to avoid instances where a referral partner has to leave the connective due to fraudulent activities.</w:t>
      </w:r>
    </w:p>
    <w:p w14:paraId="050FE9C8" w14:textId="77777777" w:rsidR="00C345FA" w:rsidRPr="00CB2588" w:rsidRDefault="00B31EE2" w:rsidP="00CB2588">
      <w:pPr>
        <w:spacing w:after="0" w:line="480" w:lineRule="auto"/>
        <w:ind w:firstLine="720"/>
        <w:contextualSpacing/>
        <w:jc w:val="both"/>
        <w:rPr>
          <w:rFonts w:ascii="Times New Roman" w:hAnsi="Times New Roman" w:cs="Times New Roman"/>
          <w:sz w:val="24"/>
          <w:szCs w:val="24"/>
        </w:rPr>
      </w:pPr>
      <w:r w:rsidRPr="00CB2588">
        <w:rPr>
          <w:rFonts w:ascii="Times New Roman" w:hAnsi="Times New Roman" w:cs="Times New Roman"/>
          <w:sz w:val="24"/>
          <w:szCs w:val="24"/>
        </w:rPr>
        <w:t xml:space="preserve">The connective offers services and charges fees for every referral using a comprehensive paradigm that identifies connectors with various needs. The connectors are tasked with the responsibility of collecting information and determining the budgetary needs of the demand. The connector communicates with the Connectives about the problem to be addressed. The latter identifies partners that can fulfill the need to create optimal outcomes. Connecting the partners to the connectors is Connective’s primary obligation. The selection process enables the clients to </w:t>
      </w:r>
      <w:r w:rsidRPr="00CB2588">
        <w:rPr>
          <w:rFonts w:ascii="Times New Roman" w:hAnsi="Times New Roman" w:cs="Times New Roman"/>
          <w:sz w:val="24"/>
          <w:szCs w:val="24"/>
        </w:rPr>
        <w:lastRenderedPageBreak/>
        <w:t xml:space="preserve">make payments to the identified partners. Remittances are made to the company that in turn pays the connectors 50%. Profitability is fundamental to the sustenance of the network and Connective charges the partners a referral fee for every connector they recommend. The referral fee together with the service fee earns the network significant profit margins. </w:t>
      </w:r>
    </w:p>
    <w:p w14:paraId="4E88551A" w14:textId="77777777" w:rsidR="00C345FA" w:rsidRPr="00CB2588" w:rsidRDefault="00B31EE2" w:rsidP="00CB2588">
      <w:pPr>
        <w:spacing w:after="0" w:line="480" w:lineRule="auto"/>
        <w:ind w:firstLine="720"/>
        <w:contextualSpacing/>
        <w:jc w:val="both"/>
        <w:rPr>
          <w:rFonts w:ascii="Times New Roman" w:hAnsi="Times New Roman" w:cs="Times New Roman"/>
          <w:sz w:val="24"/>
          <w:szCs w:val="24"/>
        </w:rPr>
      </w:pPr>
      <w:r w:rsidRPr="00CB2588">
        <w:rPr>
          <w:rFonts w:ascii="Times New Roman" w:hAnsi="Times New Roman" w:cs="Times New Roman"/>
          <w:sz w:val="24"/>
          <w:szCs w:val="24"/>
        </w:rPr>
        <w:t>Revenue streams of the connective company are not steady to raise the company again in case of financial crisis. First, the company only relies on its clients to pay for the connection service they received. A setback in this scenario is that if a client is dissatisfied, he or she may not come back for more connections or even refer to anyone else. This aspect is critical because it can decrease the market share of the company. All the partners that have enrolled in the connective company need to pay either a monthly, weekly, biannual or annual commission to remain on the web (Viswanadham, 2018). This strategy may also motivate the partners to offers the best quality of products and services they offer. The connective does not charge a fixed commission for business deals it seals. There is the aspect of commission fixing, and this destabilizes the finances of the company. For a steady income, the company should charge 25 percent of the cost of sealed business deals no matter the size of the companies linking up.</w:t>
      </w:r>
    </w:p>
    <w:p w14:paraId="57F40A5F" w14:textId="77777777" w:rsidR="00C345FA" w:rsidRPr="00CB2588" w:rsidRDefault="00B31EE2" w:rsidP="00CB2588">
      <w:pPr>
        <w:spacing w:after="0" w:line="480" w:lineRule="auto"/>
        <w:ind w:firstLine="720"/>
        <w:contextualSpacing/>
        <w:jc w:val="both"/>
        <w:rPr>
          <w:rFonts w:ascii="Times New Roman" w:hAnsi="Times New Roman" w:cs="Times New Roman"/>
          <w:sz w:val="24"/>
          <w:szCs w:val="24"/>
        </w:rPr>
      </w:pPr>
      <w:r w:rsidRPr="00CB2588">
        <w:rPr>
          <w:rFonts w:ascii="Times New Roman" w:hAnsi="Times New Roman" w:cs="Times New Roman"/>
          <w:sz w:val="24"/>
          <w:szCs w:val="24"/>
        </w:rPr>
        <w:t xml:space="preserve">Technology may have revolutionized the business operations of many companies, but most of them still rely on referrals and recommendations for growth. It is the main reason why most companies emphasize on customer satisfaction. That said, all the companies operating under The Connective web are willing to give a share of their profits to the connective company if they get the guarantee of steady client flow (Fleisher &amp; Bensoussan, 2015). For this plan to work, the client's feedback should dictate the operations of the company. Prioritization of all their suggestions should be paramount. Goodwill, trust, and credibility are the three elements that </w:t>
      </w:r>
      <w:r w:rsidRPr="00CB2588">
        <w:rPr>
          <w:rFonts w:ascii="Times New Roman" w:hAnsi="Times New Roman" w:cs="Times New Roman"/>
          <w:sz w:val="24"/>
          <w:szCs w:val="24"/>
        </w:rPr>
        <w:lastRenderedPageBreak/>
        <w:t>should matter in all the company's dealings to motivate the partners and clients to pay the stipulated commissions when deals are a success.</w:t>
      </w:r>
    </w:p>
    <w:p w14:paraId="2D71CC7D" w14:textId="77777777" w:rsidR="00C345FA" w:rsidRPr="00CB2588" w:rsidRDefault="00C345FA" w:rsidP="00CB2588">
      <w:pPr>
        <w:spacing w:after="0" w:line="480" w:lineRule="auto"/>
        <w:ind w:firstLine="720"/>
        <w:contextualSpacing/>
        <w:rPr>
          <w:rFonts w:ascii="Times New Roman" w:hAnsi="Times New Roman" w:cs="Times New Roman"/>
          <w:sz w:val="24"/>
          <w:szCs w:val="24"/>
        </w:rPr>
      </w:pPr>
    </w:p>
    <w:p w14:paraId="552C07FD" w14:textId="483ED4AD" w:rsidR="00AC2A97" w:rsidRPr="00CB2588" w:rsidRDefault="00B31EE2" w:rsidP="00CB2588">
      <w:pPr>
        <w:spacing w:after="0" w:line="480" w:lineRule="auto"/>
        <w:ind w:firstLine="720"/>
        <w:contextualSpacing/>
        <w:rPr>
          <w:rFonts w:ascii="Times New Roman" w:hAnsi="Times New Roman" w:cs="Times New Roman"/>
          <w:sz w:val="24"/>
          <w:szCs w:val="24"/>
        </w:rPr>
      </w:pPr>
      <w:r w:rsidRPr="00CB2588">
        <w:rPr>
          <w:rFonts w:ascii="Times New Roman" w:hAnsi="Times New Roman" w:cs="Times New Roman"/>
          <w:b/>
          <w:sz w:val="24"/>
          <w:szCs w:val="24"/>
        </w:rPr>
        <w:t xml:space="preserve">The </w:t>
      </w:r>
      <w:r w:rsidR="00AC4A85" w:rsidRPr="00CB2588">
        <w:rPr>
          <w:rFonts w:ascii="Times New Roman" w:hAnsi="Times New Roman" w:cs="Times New Roman"/>
          <w:b/>
          <w:sz w:val="24"/>
          <w:szCs w:val="24"/>
        </w:rPr>
        <w:t>Connective Website</w:t>
      </w:r>
    </w:p>
    <w:p w14:paraId="153B5DAA" w14:textId="6D9366E4" w:rsidR="00352994"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Websites are the most critical communication tools for companies in this century because it eases the process of disseminating information and getting feedback from the target base. For the tool to be useful, it must have a unique and easy to use. The target base should get attracted to the website through its appealing graphics and the transitions. These aspects are what generally draw people to sites.</w:t>
      </w:r>
    </w:p>
    <w:p w14:paraId="2184F3B0" w14:textId="48DD5467" w:rsidR="00352994"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Websites have their own merits and merits, both of which may boost or lower the legibility of a company’s brand. This indifference does not admonish the fact that it is the most critical communication tool for every company. A point to note is that websites are multipurpose and they can get used to present all information about a company and ensure that its stakeholders understand it fully. If not, additional links can always get added as reference points. In this case, the connective website will have an effortless appeal and transition of colors (Kong, Unger, Baezconde-Garbanati, &amp; Sussman, 2017). The upper part of the site is to cover a quarter of the whole page. The company’s name, logo, and mission will also appear on the upper part. A picture of the company or maybe its officials and connectors need to get placed as the background of this part. Buildings; official connective buildings, can always get used as pictures. In the case of people, it gets advised for the people to appear smiling because it attracts people to the website. The photos can look in a transition of 30 seconds. </w:t>
      </w:r>
    </w:p>
    <w:p w14:paraId="048571DF" w14:textId="4DFAD3B0" w:rsidR="00AC2A97" w:rsidRPr="00CB2588" w:rsidRDefault="00352994"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Below it can be a welcome note and a few points on the history of the company and its statistics about businesses it has connected. The portfolio of the company should appear on the </w:t>
      </w:r>
      <w:r w:rsidRPr="00CB2588">
        <w:rPr>
          <w:rFonts w:ascii="Times New Roman" w:hAnsi="Times New Roman" w:cs="Times New Roman"/>
          <w:sz w:val="24"/>
          <w:szCs w:val="24"/>
        </w:rPr>
        <w:lastRenderedPageBreak/>
        <w:t>right while the history of the company should appear on the left</w:t>
      </w:r>
      <w:r w:rsidR="00B31EE2" w:rsidRPr="00CB2588">
        <w:rPr>
          <w:rFonts w:ascii="Times New Roman" w:hAnsi="Times New Roman" w:cs="Times New Roman"/>
          <w:sz w:val="24"/>
          <w:szCs w:val="24"/>
        </w:rPr>
        <w:t xml:space="preserve"> (Kong, Unger, Baezconde-Garbanati, &amp; Sussman, 2017)</w:t>
      </w:r>
      <w:r w:rsidRPr="00CB2588">
        <w:rPr>
          <w:rFonts w:ascii="Times New Roman" w:hAnsi="Times New Roman" w:cs="Times New Roman"/>
          <w:sz w:val="24"/>
          <w:szCs w:val="24"/>
        </w:rPr>
        <w:t>. This concept creates a balance on the appearance and makes the appeal attractive. Partners of the company should take a middle which is also a large part of the websites because they are the base in which the company settles. All of them need to get grouped according to the industries and sectors that they cover, for example, F10 HOTELS INVESTMENT BANKING is in the banking and finance sector. This content should appear as it does in the connective booklet with the only exceptions bei</w:t>
      </w:r>
      <w:r w:rsidR="00FE721A" w:rsidRPr="00CB2588">
        <w:rPr>
          <w:rFonts w:ascii="Times New Roman" w:hAnsi="Times New Roman" w:cs="Times New Roman"/>
          <w:sz w:val="24"/>
          <w:szCs w:val="24"/>
        </w:rPr>
        <w:t xml:space="preserve">ng the contacts of the partner. </w:t>
      </w:r>
      <w:r w:rsidRPr="00CB2588">
        <w:rPr>
          <w:rFonts w:ascii="Times New Roman" w:hAnsi="Times New Roman" w:cs="Times New Roman"/>
          <w:sz w:val="24"/>
          <w:szCs w:val="24"/>
        </w:rPr>
        <w:t>Prospects can peruse the website and find a partner that suits their needs and then get a connector that will initiate and actualize the process. Only the contacts of the connectors are to appear on the site</w:t>
      </w:r>
      <w:r w:rsidR="00B31EE2" w:rsidRPr="00CB2588">
        <w:rPr>
          <w:rFonts w:ascii="Times New Roman" w:hAnsi="Times New Roman" w:cs="Times New Roman"/>
          <w:sz w:val="24"/>
          <w:szCs w:val="24"/>
        </w:rPr>
        <w:t xml:space="preserve"> (Ghandour, 2015)</w:t>
      </w:r>
      <w:r w:rsidRPr="00CB2588">
        <w:rPr>
          <w:rFonts w:ascii="Times New Roman" w:hAnsi="Times New Roman" w:cs="Times New Roman"/>
          <w:sz w:val="24"/>
          <w:szCs w:val="24"/>
        </w:rPr>
        <w:t>. The business model then takes the traditional phase where the connector seals the business,</w:t>
      </w:r>
      <w:r w:rsidR="00B31EE2" w:rsidRPr="00CB2588">
        <w:rPr>
          <w:rFonts w:ascii="Times New Roman" w:hAnsi="Times New Roman" w:cs="Times New Roman"/>
          <w:sz w:val="24"/>
          <w:szCs w:val="24"/>
        </w:rPr>
        <w:t xml:space="preserve"> and the customer pays offline. </w:t>
      </w:r>
    </w:p>
    <w:p w14:paraId="0E6E1DB4" w14:textId="3FFB71BD" w:rsidR="00AC2A97"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Google is the best tool to gauge reviews because it ensures the credibility of all the sources. It prevents bias and mostly maintains the reputation of a company. Most of the reviews that come through google are authentic because the people reviewing met the Google standards and credibility test by inputting their credentials. The aspect of the reviewers disclosing information covers the doubt that account getting used is fake or the reviewers have an ill motive to the brand. Feedback is necessary because the business owners or partners can know the needs of the customers and how they relate to their products or customers. This aspect motivates innovation of customer-oriented products and services and offers a way in which a company connects directly to the customers. The feedback and review option should get placed at the right bottom of the webpage and written in visible colors (Ghandour, 2015).. Customers may reply or inquire on the site, or they may opt to communicate directly via email or telephone through the provided contacts. This way creates an atmosphere that makes the customer know he or she is in </w:t>
      </w:r>
      <w:r w:rsidRPr="00CB2588">
        <w:rPr>
          <w:rFonts w:ascii="Times New Roman" w:hAnsi="Times New Roman" w:cs="Times New Roman"/>
          <w:sz w:val="24"/>
          <w:szCs w:val="24"/>
        </w:rPr>
        <w:lastRenderedPageBreak/>
        <w:t>charge.  Redirections are a turn-off for customers, and they should get avoided at all costs. Everything; query and feedback, should get done on the website and the response needs to get quick to motivate the customer to maintain the relationship with the business entity.</w:t>
      </w:r>
    </w:p>
    <w:p w14:paraId="151D4AB5" w14:textId="7AE05D09" w:rsidR="00041C81"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 xml:space="preserve">Comparatively, Google is superior to Yelp when it comes to reviewing a company since it will give Connective a platform to connect with the connectors. The review tool that Google uses is powerful, and it will give the company an individualized approach in its strategic marketing plans. Reviews are mandatory in Google as opposed to Yelp that has perceptions that reviews are only inevitable when they have five stars. Besides, the company can effectively use Search Engine Optimization (SEO) capabilities that Google offers to gauge their customers' satisfaction. Unlike Yelp, Google is review-oriented and will strive to connect the company with its potential customers. Customer satisfaction together reviews made on the site helps the company to determine its SEO ratings. </w:t>
      </w:r>
      <w:r w:rsidR="00473EC7" w:rsidRPr="00CB2588">
        <w:rPr>
          <w:rFonts w:ascii="Times New Roman" w:hAnsi="Times New Roman" w:cs="Times New Roman"/>
          <w:sz w:val="24"/>
          <w:szCs w:val="24"/>
        </w:rPr>
        <w:t>Besides, Google has a powerful review tool that prevents redundant reviews. Yelp is not IP-sensitive, and a single account can be used to make multiple reviews on the single website. In this regard, the platform is not a credible platform to determine customer satisfaction since fake customer reviews characterize it.</w:t>
      </w:r>
    </w:p>
    <w:p w14:paraId="00688BA7" w14:textId="09F850FD" w:rsidR="00473EC7"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Arguably, Y</w:t>
      </w:r>
      <w:r w:rsidR="008013F9" w:rsidRPr="00CB2588">
        <w:rPr>
          <w:rFonts w:ascii="Times New Roman" w:hAnsi="Times New Roman" w:cs="Times New Roman"/>
          <w:sz w:val="24"/>
          <w:szCs w:val="24"/>
        </w:rPr>
        <w:t>elp has trust issues, and Google gets the edge here, and since the company is customer sensitive, it would not want a situation where a connector gets negative feedbacks about partners since they will run away. In this regard, accurate reviews ought to be given to enable Connective to connect the connectors to suitable partners.</w:t>
      </w:r>
      <w:r w:rsidR="00BF24B5" w:rsidRPr="00CB2588">
        <w:rPr>
          <w:rFonts w:ascii="Times New Roman" w:hAnsi="Times New Roman" w:cs="Times New Roman"/>
          <w:sz w:val="24"/>
          <w:szCs w:val="24"/>
        </w:rPr>
        <w:t xml:space="preserve"> A good review framework should promote the credibility of the information provided </w:t>
      </w:r>
      <w:r w:rsidR="00704D72" w:rsidRPr="00CB2588">
        <w:rPr>
          <w:rFonts w:ascii="Times New Roman" w:hAnsi="Times New Roman" w:cs="Times New Roman"/>
          <w:sz w:val="24"/>
          <w:szCs w:val="24"/>
        </w:rPr>
        <w:t>(Krishnamoorthy &amp; G</w:t>
      </w:r>
      <w:r w:rsidR="00500097" w:rsidRPr="00CB2588">
        <w:rPr>
          <w:rFonts w:ascii="Times New Roman" w:hAnsi="Times New Roman" w:cs="Times New Roman"/>
          <w:sz w:val="24"/>
          <w:szCs w:val="24"/>
        </w:rPr>
        <w:t>utierrez, 2014</w:t>
      </w:r>
      <w:r w:rsidR="00704D72" w:rsidRPr="00CB2588">
        <w:rPr>
          <w:rFonts w:ascii="Times New Roman" w:hAnsi="Times New Roman" w:cs="Times New Roman"/>
          <w:sz w:val="24"/>
          <w:szCs w:val="24"/>
        </w:rPr>
        <w:t>).</w:t>
      </w:r>
      <w:r w:rsidR="008013F9" w:rsidRPr="00CB2588">
        <w:rPr>
          <w:rFonts w:ascii="Times New Roman" w:hAnsi="Times New Roman" w:cs="Times New Roman"/>
          <w:sz w:val="24"/>
          <w:szCs w:val="24"/>
        </w:rPr>
        <w:t xml:space="preserve"> Connective should opt for beating Yelp's filter to get more positive reviews. The company will offer the customers to use their preferred platform instead of relying on Yelp. Therefore, the company's filtering system should be able to filter out new reviews. The website will locate the </w:t>
      </w:r>
      <w:r w:rsidR="008013F9" w:rsidRPr="00CB2588">
        <w:rPr>
          <w:rFonts w:ascii="Times New Roman" w:hAnsi="Times New Roman" w:cs="Times New Roman"/>
          <w:sz w:val="24"/>
          <w:szCs w:val="24"/>
        </w:rPr>
        <w:lastRenderedPageBreak/>
        <w:t>various review platforms such as Facebook, Yelp, and Google at strategic points to act as reminders to the customers of its listings. The company is of the idea that customers sho</w:t>
      </w:r>
      <w:r w:rsidR="00BF24B5" w:rsidRPr="00CB2588">
        <w:rPr>
          <w:rFonts w:ascii="Times New Roman" w:hAnsi="Times New Roman" w:cs="Times New Roman"/>
          <w:sz w:val="24"/>
          <w:szCs w:val="24"/>
        </w:rPr>
        <w:t xml:space="preserve">uld be asked to connect their profiles with their social media accounts such as LinkedIn and Facebook to enable the review team to verify credible reviews. </w:t>
      </w:r>
    </w:p>
    <w:p w14:paraId="066DA99B" w14:textId="01BAC8EC" w:rsidR="00BF24B5" w:rsidRPr="00CB2588" w:rsidRDefault="00B31EE2" w:rsidP="00CB2588">
      <w:pPr>
        <w:spacing w:after="0" w:line="480" w:lineRule="auto"/>
        <w:ind w:firstLine="720"/>
        <w:jc w:val="both"/>
        <w:rPr>
          <w:rFonts w:ascii="Times New Roman" w:hAnsi="Times New Roman" w:cs="Times New Roman"/>
          <w:sz w:val="24"/>
          <w:szCs w:val="24"/>
        </w:rPr>
      </w:pPr>
      <w:r w:rsidRPr="00CB2588">
        <w:rPr>
          <w:rFonts w:ascii="Times New Roman" w:hAnsi="Times New Roman" w:cs="Times New Roman"/>
          <w:sz w:val="24"/>
          <w:szCs w:val="24"/>
        </w:rPr>
        <w:t>The commissions are made 25</w:t>
      </w:r>
      <w:r w:rsidRPr="00CB2588">
        <w:rPr>
          <w:rFonts w:ascii="Times New Roman" w:hAnsi="Times New Roman" w:cs="Times New Roman"/>
          <w:sz w:val="24"/>
          <w:szCs w:val="24"/>
          <w:vertAlign w:val="superscript"/>
        </w:rPr>
        <w:t>th</w:t>
      </w:r>
      <w:r w:rsidRPr="00CB2588">
        <w:rPr>
          <w:rFonts w:ascii="Times New Roman" w:hAnsi="Times New Roman" w:cs="Times New Roman"/>
          <w:sz w:val="24"/>
          <w:szCs w:val="24"/>
        </w:rPr>
        <w:t xml:space="preserve"> of each month, </w:t>
      </w:r>
      <w:r w:rsidR="00704D72" w:rsidRPr="00CB2588">
        <w:rPr>
          <w:rFonts w:ascii="Times New Roman" w:hAnsi="Times New Roman" w:cs="Times New Roman"/>
          <w:sz w:val="24"/>
          <w:szCs w:val="24"/>
        </w:rPr>
        <w:t>and Paypal is a smart choice that Connective can to avoid payment problems. Paypal will enable the partners and the connectors and partners to make transactions efficiently without the use of credit cards. Paypal accounts are connected directly with the users' bank accounts, and the strong security infrastructure prevents fraudulent activities</w:t>
      </w:r>
      <w:r w:rsidR="00500097" w:rsidRPr="00CB2588">
        <w:rPr>
          <w:rFonts w:ascii="Times New Roman" w:hAnsi="Times New Roman" w:cs="Times New Roman"/>
          <w:sz w:val="24"/>
          <w:szCs w:val="24"/>
        </w:rPr>
        <w:t>. Besides, it's a fast method of receiving payment, and the clients do not have to avail themselves to the bank premises. Customer satisfaction is enhanced since they are protected and they can have chargebacks when faced with fraud. The website will be able also to use the review made on certain clients to determine their suitability for the Connective network. Clients that are unable to make their payments to Connective are weeded out and their commissions withheld.</w:t>
      </w:r>
    </w:p>
    <w:p w14:paraId="5BA237A1" w14:textId="77777777" w:rsidR="00CB2588" w:rsidRDefault="00CB2588">
      <w:pPr>
        <w:rPr>
          <w:rFonts w:ascii="Times New Roman" w:hAnsi="Times New Roman" w:cs="Times New Roman"/>
          <w:sz w:val="24"/>
          <w:szCs w:val="24"/>
        </w:rPr>
      </w:pPr>
      <w:r>
        <w:rPr>
          <w:rFonts w:ascii="Times New Roman" w:hAnsi="Times New Roman" w:cs="Times New Roman"/>
          <w:sz w:val="24"/>
          <w:szCs w:val="24"/>
        </w:rPr>
        <w:br w:type="page"/>
      </w:r>
    </w:p>
    <w:p w14:paraId="317643E1" w14:textId="24DD5F6A" w:rsidR="00352994" w:rsidRPr="00CB2588" w:rsidRDefault="00B31EE2" w:rsidP="00AC2A97">
      <w:pPr>
        <w:spacing w:after="0" w:line="480" w:lineRule="auto"/>
        <w:jc w:val="center"/>
        <w:rPr>
          <w:rFonts w:ascii="Times New Roman" w:hAnsi="Times New Roman" w:cs="Times New Roman"/>
          <w:sz w:val="24"/>
          <w:szCs w:val="24"/>
        </w:rPr>
      </w:pPr>
      <w:r w:rsidRPr="00CB2588">
        <w:rPr>
          <w:rFonts w:ascii="Times New Roman" w:hAnsi="Times New Roman" w:cs="Times New Roman"/>
          <w:sz w:val="24"/>
          <w:szCs w:val="24"/>
        </w:rPr>
        <w:lastRenderedPageBreak/>
        <w:t>References</w:t>
      </w:r>
    </w:p>
    <w:p w14:paraId="7F49A4BD" w14:textId="4E191E42" w:rsidR="006A20B9" w:rsidRPr="00CB2588" w:rsidRDefault="00B31EE2" w:rsidP="00CB2588">
      <w:pPr>
        <w:spacing w:after="0" w:line="480" w:lineRule="auto"/>
        <w:ind w:left="720" w:hanging="720"/>
        <w:rPr>
          <w:rFonts w:ascii="Times New Roman" w:hAnsi="Times New Roman" w:cs="Times New Roman"/>
          <w:sz w:val="24"/>
          <w:szCs w:val="24"/>
        </w:rPr>
      </w:pPr>
      <w:r w:rsidRPr="00CB2588">
        <w:rPr>
          <w:rFonts w:ascii="Times New Roman" w:hAnsi="Times New Roman" w:cs="Times New Roman"/>
          <w:sz w:val="24"/>
          <w:szCs w:val="24"/>
        </w:rPr>
        <w:t>Bouranta, N., &amp; Psomas, E. (2017). A comparative analysi</w:t>
      </w:r>
      <w:r w:rsidR="00CB2588">
        <w:rPr>
          <w:rFonts w:ascii="Times New Roman" w:hAnsi="Times New Roman" w:cs="Times New Roman"/>
          <w:sz w:val="24"/>
          <w:szCs w:val="24"/>
        </w:rPr>
        <w:t xml:space="preserve">s of competitive priorities and </w:t>
      </w:r>
      <w:r w:rsidRPr="00CB2588">
        <w:rPr>
          <w:rFonts w:ascii="Times New Roman" w:hAnsi="Times New Roman" w:cs="Times New Roman"/>
          <w:sz w:val="24"/>
          <w:szCs w:val="24"/>
        </w:rPr>
        <w:t xml:space="preserve">business performance between manufacturing and service </w:t>
      </w:r>
      <w:r w:rsidR="00CB2588">
        <w:rPr>
          <w:rFonts w:ascii="Times New Roman" w:hAnsi="Times New Roman" w:cs="Times New Roman"/>
          <w:sz w:val="24"/>
          <w:szCs w:val="24"/>
        </w:rPr>
        <w:t xml:space="preserve">firms. International Journal of </w:t>
      </w:r>
      <w:r w:rsidRPr="00CB2588">
        <w:rPr>
          <w:rFonts w:ascii="Times New Roman" w:hAnsi="Times New Roman" w:cs="Times New Roman"/>
          <w:sz w:val="24"/>
          <w:szCs w:val="24"/>
        </w:rPr>
        <w:t>Productivity and Performance Management, 66(7), 914-931.</w:t>
      </w:r>
    </w:p>
    <w:p w14:paraId="212E9E74" w14:textId="726FB399" w:rsidR="006A20B9" w:rsidRPr="00CB2588" w:rsidRDefault="00B31EE2" w:rsidP="00CB2588">
      <w:pPr>
        <w:spacing w:after="0" w:line="480" w:lineRule="auto"/>
        <w:ind w:left="720" w:hanging="720"/>
        <w:rPr>
          <w:rFonts w:ascii="Times New Roman" w:hAnsi="Times New Roman" w:cs="Times New Roman"/>
          <w:sz w:val="24"/>
          <w:szCs w:val="24"/>
        </w:rPr>
      </w:pPr>
      <w:r w:rsidRPr="00CB2588">
        <w:rPr>
          <w:rFonts w:ascii="Times New Roman" w:hAnsi="Times New Roman" w:cs="Times New Roman"/>
          <w:sz w:val="24"/>
          <w:szCs w:val="24"/>
        </w:rPr>
        <w:t>Fleisher, C. S., &amp; Bensoussan, B. E. (2015). Business and competitive analysis</w:t>
      </w:r>
      <w:r w:rsidR="00CB2588">
        <w:rPr>
          <w:rFonts w:ascii="Times New Roman" w:hAnsi="Times New Roman" w:cs="Times New Roman"/>
          <w:sz w:val="24"/>
          <w:szCs w:val="24"/>
        </w:rPr>
        <w:t xml:space="preserve">: effective </w:t>
      </w:r>
      <w:r w:rsidRPr="00CB2588">
        <w:rPr>
          <w:rFonts w:ascii="Times New Roman" w:hAnsi="Times New Roman" w:cs="Times New Roman"/>
          <w:sz w:val="24"/>
          <w:szCs w:val="24"/>
        </w:rPr>
        <w:t xml:space="preserve">application of new and classic methods. FT Press. </w:t>
      </w:r>
    </w:p>
    <w:p w14:paraId="2116DF23" w14:textId="64C9DBBC" w:rsidR="00352994" w:rsidRPr="00CB2588" w:rsidRDefault="00B31EE2" w:rsidP="00CB2588">
      <w:pPr>
        <w:spacing w:after="0" w:line="480" w:lineRule="auto"/>
        <w:ind w:left="720" w:hanging="720"/>
        <w:rPr>
          <w:rFonts w:ascii="Times New Roman" w:hAnsi="Times New Roman" w:cs="Times New Roman"/>
          <w:sz w:val="24"/>
          <w:szCs w:val="24"/>
        </w:rPr>
      </w:pPr>
      <w:r w:rsidRPr="00CB2588">
        <w:rPr>
          <w:rFonts w:ascii="Times New Roman" w:hAnsi="Times New Roman" w:cs="Times New Roman"/>
          <w:sz w:val="24"/>
          <w:szCs w:val="24"/>
        </w:rPr>
        <w:t xml:space="preserve">Ghandour, A. (2015). Ecommerce website value model for SMEs. " International Journal </w:t>
      </w:r>
      <w:r w:rsidR="00CB2588" w:rsidRPr="00CB2588">
        <w:rPr>
          <w:rFonts w:ascii="Times New Roman" w:hAnsi="Times New Roman" w:cs="Times New Roman"/>
          <w:sz w:val="24"/>
          <w:szCs w:val="24"/>
        </w:rPr>
        <w:t xml:space="preserve">of </w:t>
      </w:r>
      <w:r w:rsidR="00CB2588">
        <w:rPr>
          <w:rFonts w:ascii="Times New Roman" w:hAnsi="Times New Roman" w:cs="Times New Roman"/>
          <w:sz w:val="24"/>
          <w:szCs w:val="24"/>
        </w:rPr>
        <w:t>Electronic</w:t>
      </w:r>
      <w:r w:rsidRPr="00CB2588">
        <w:rPr>
          <w:rFonts w:ascii="Times New Roman" w:hAnsi="Times New Roman" w:cs="Times New Roman"/>
          <w:sz w:val="24"/>
          <w:szCs w:val="24"/>
        </w:rPr>
        <w:t xml:space="preserve"> Commerce Studies", 6(2), 203-222.</w:t>
      </w:r>
    </w:p>
    <w:p w14:paraId="0B1BFDAA" w14:textId="018382E8" w:rsidR="006A20B9" w:rsidRPr="00CB2588" w:rsidRDefault="00B31EE2" w:rsidP="00CB2588">
      <w:pPr>
        <w:spacing w:after="0" w:line="480" w:lineRule="auto"/>
        <w:ind w:left="720" w:hanging="720"/>
        <w:rPr>
          <w:rFonts w:ascii="Times New Roman" w:hAnsi="Times New Roman" w:cs="Times New Roman"/>
          <w:sz w:val="24"/>
          <w:szCs w:val="24"/>
        </w:rPr>
      </w:pPr>
      <w:r w:rsidRPr="00CB2588">
        <w:rPr>
          <w:rFonts w:ascii="Times New Roman" w:hAnsi="Times New Roman" w:cs="Times New Roman"/>
          <w:sz w:val="24"/>
          <w:szCs w:val="24"/>
        </w:rPr>
        <w:t>Jayant, A., Giri, V., Singh, P. K., &amp; Luthra, S. (2018). A state-of th</w:t>
      </w:r>
      <w:r w:rsidR="00CB2588">
        <w:rPr>
          <w:rFonts w:ascii="Times New Roman" w:hAnsi="Times New Roman" w:cs="Times New Roman"/>
          <w:sz w:val="24"/>
          <w:szCs w:val="24"/>
        </w:rPr>
        <w:t xml:space="preserve">e-art literature survey of grey </w:t>
      </w:r>
      <w:r w:rsidRPr="00CB2588">
        <w:rPr>
          <w:rFonts w:ascii="Times New Roman" w:hAnsi="Times New Roman" w:cs="Times New Roman"/>
          <w:sz w:val="24"/>
          <w:szCs w:val="24"/>
        </w:rPr>
        <w:t>relational analysis applications in competitive business environment. International</w:t>
      </w:r>
      <w:r w:rsidRPr="00CB2588">
        <w:rPr>
          <w:rFonts w:ascii="Times New Roman" w:hAnsi="Times New Roman" w:cs="Times New Roman"/>
          <w:sz w:val="24"/>
          <w:szCs w:val="24"/>
        </w:rPr>
        <w:tab/>
        <w:t>Journal</w:t>
      </w:r>
      <w:r w:rsidRPr="00CB2588">
        <w:rPr>
          <w:rFonts w:ascii="Times New Roman" w:hAnsi="Times New Roman" w:cs="Times New Roman"/>
          <w:sz w:val="24"/>
          <w:szCs w:val="24"/>
        </w:rPr>
        <w:tab/>
        <w:t>of Industrial and Systems Engineering, 30(4), 425-448.</w:t>
      </w:r>
    </w:p>
    <w:p w14:paraId="057B17BD" w14:textId="2075E6F8" w:rsidR="00352994" w:rsidRPr="00CB2588" w:rsidRDefault="00B31EE2" w:rsidP="00CB2588">
      <w:pPr>
        <w:spacing w:after="0" w:line="480" w:lineRule="auto"/>
        <w:ind w:left="720" w:hanging="720"/>
        <w:rPr>
          <w:rFonts w:ascii="Times New Roman" w:hAnsi="Times New Roman" w:cs="Times New Roman"/>
          <w:sz w:val="24"/>
          <w:szCs w:val="24"/>
        </w:rPr>
      </w:pPr>
      <w:r w:rsidRPr="00CB2588">
        <w:rPr>
          <w:rFonts w:ascii="Times New Roman" w:hAnsi="Times New Roman" w:cs="Times New Roman"/>
          <w:sz w:val="24"/>
          <w:szCs w:val="24"/>
        </w:rPr>
        <w:t>Kong, G., Unger, J., Baezconde-Garbanati, L., &amp; Sussman, S. (</w:t>
      </w:r>
      <w:r w:rsidR="00CB2588">
        <w:rPr>
          <w:rFonts w:ascii="Times New Roman" w:hAnsi="Times New Roman" w:cs="Times New Roman"/>
          <w:sz w:val="24"/>
          <w:szCs w:val="24"/>
        </w:rPr>
        <w:t xml:space="preserve">2017). The associations between </w:t>
      </w:r>
      <w:r w:rsidRPr="00CB2588">
        <w:rPr>
          <w:rFonts w:ascii="Times New Roman" w:hAnsi="Times New Roman" w:cs="Times New Roman"/>
          <w:sz w:val="24"/>
          <w:szCs w:val="24"/>
        </w:rPr>
        <w:t>yelp online reviews and vape shops closing or remaini</w:t>
      </w:r>
      <w:r w:rsidR="00CB2588">
        <w:rPr>
          <w:rFonts w:ascii="Times New Roman" w:hAnsi="Times New Roman" w:cs="Times New Roman"/>
          <w:sz w:val="24"/>
          <w:szCs w:val="24"/>
        </w:rPr>
        <w:t xml:space="preserve">ng open one year later. Tobacco </w:t>
      </w:r>
      <w:r w:rsidRPr="00CB2588">
        <w:rPr>
          <w:rFonts w:ascii="Times New Roman" w:hAnsi="Times New Roman" w:cs="Times New Roman"/>
          <w:sz w:val="24"/>
          <w:szCs w:val="24"/>
        </w:rPr>
        <w:t>prevention &amp; cessation, 2(Suppl).</w:t>
      </w:r>
    </w:p>
    <w:p w14:paraId="028610AD" w14:textId="5CBE193F" w:rsidR="00500097" w:rsidRPr="00CB2588" w:rsidRDefault="00B31EE2" w:rsidP="00CB2588">
      <w:pPr>
        <w:spacing w:after="0" w:line="480" w:lineRule="auto"/>
        <w:ind w:left="720" w:hanging="720"/>
        <w:rPr>
          <w:rFonts w:ascii="Times New Roman" w:hAnsi="Times New Roman" w:cs="Times New Roman"/>
          <w:sz w:val="24"/>
          <w:szCs w:val="24"/>
        </w:rPr>
      </w:pPr>
      <w:r w:rsidRPr="00CB2588">
        <w:rPr>
          <w:rFonts w:ascii="Times New Roman" w:hAnsi="Times New Roman" w:cs="Times New Roman"/>
          <w:sz w:val="24"/>
          <w:szCs w:val="24"/>
        </w:rPr>
        <w:t>Krishnamoorthy, M. S. &amp; Gutierrez. (2014). Analysis of Yelp reviews. Department of Computer</w:t>
      </w:r>
    </w:p>
    <w:p w14:paraId="03DB711D" w14:textId="3096AF4F" w:rsidR="00500097" w:rsidRPr="00CB2588" w:rsidRDefault="00B31EE2" w:rsidP="00CB2588">
      <w:pPr>
        <w:spacing w:after="0" w:line="480" w:lineRule="auto"/>
        <w:ind w:left="720" w:hanging="720"/>
        <w:rPr>
          <w:rFonts w:ascii="Times New Roman" w:hAnsi="Times New Roman" w:cs="Times New Roman"/>
          <w:sz w:val="24"/>
          <w:szCs w:val="24"/>
        </w:rPr>
      </w:pPr>
      <w:r w:rsidRPr="00CB2588">
        <w:rPr>
          <w:rFonts w:ascii="Times New Roman" w:hAnsi="Times New Roman" w:cs="Times New Roman"/>
          <w:sz w:val="24"/>
          <w:szCs w:val="24"/>
        </w:rPr>
        <w:t>Science, RPI. 1-26.</w:t>
      </w:r>
    </w:p>
    <w:p w14:paraId="2EA86764" w14:textId="2F41F1AB" w:rsidR="006A20B9" w:rsidRPr="00CB2588" w:rsidRDefault="00B31EE2" w:rsidP="00CB2588">
      <w:pPr>
        <w:spacing w:after="0" w:line="480" w:lineRule="auto"/>
        <w:ind w:left="720" w:hanging="720"/>
        <w:rPr>
          <w:rFonts w:ascii="Times New Roman" w:hAnsi="Times New Roman" w:cs="Times New Roman"/>
          <w:sz w:val="24"/>
          <w:szCs w:val="24"/>
        </w:rPr>
      </w:pPr>
      <w:r w:rsidRPr="00CB2588">
        <w:rPr>
          <w:rFonts w:ascii="Times New Roman" w:hAnsi="Times New Roman" w:cs="Times New Roman"/>
          <w:sz w:val="24"/>
          <w:szCs w:val="24"/>
        </w:rPr>
        <w:t xml:space="preserve">Viswanadham, N. (2018). Performance analysis and design </w:t>
      </w:r>
      <w:r w:rsidR="00CB2588">
        <w:rPr>
          <w:rFonts w:ascii="Times New Roman" w:hAnsi="Times New Roman" w:cs="Times New Roman"/>
          <w:sz w:val="24"/>
          <w:szCs w:val="24"/>
        </w:rPr>
        <w:t xml:space="preserve">of competitive business models. </w:t>
      </w:r>
      <w:r w:rsidRPr="00CB2588">
        <w:rPr>
          <w:rFonts w:ascii="Times New Roman" w:hAnsi="Times New Roman" w:cs="Times New Roman"/>
          <w:sz w:val="24"/>
          <w:szCs w:val="24"/>
        </w:rPr>
        <w:t>International Journal of Production Research, 56(1-2), 983-999.</w:t>
      </w:r>
    </w:p>
    <w:p w14:paraId="0D933AE0" w14:textId="77777777" w:rsidR="006A20B9" w:rsidRPr="00CB2588" w:rsidRDefault="006A20B9" w:rsidP="006A20B9">
      <w:pPr>
        <w:spacing w:after="0" w:line="480" w:lineRule="auto"/>
        <w:rPr>
          <w:rFonts w:ascii="Times New Roman" w:hAnsi="Times New Roman" w:cs="Times New Roman"/>
          <w:sz w:val="24"/>
          <w:szCs w:val="24"/>
        </w:rPr>
      </w:pPr>
    </w:p>
    <w:p w14:paraId="0941F3DA" w14:textId="77777777" w:rsidR="006A20B9" w:rsidRPr="00CB2588" w:rsidRDefault="006A20B9" w:rsidP="00AC2A97">
      <w:pPr>
        <w:spacing w:after="0" w:line="480" w:lineRule="auto"/>
        <w:rPr>
          <w:rFonts w:ascii="Times New Roman" w:hAnsi="Times New Roman" w:cs="Times New Roman"/>
          <w:sz w:val="24"/>
          <w:szCs w:val="24"/>
        </w:rPr>
      </w:pPr>
    </w:p>
    <w:sectPr w:rsidR="006A20B9" w:rsidRPr="00CB2588" w:rsidSect="00AC2A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1A61A" w14:textId="77777777" w:rsidR="00F16600" w:rsidRDefault="00F16600">
      <w:pPr>
        <w:spacing w:after="0" w:line="240" w:lineRule="auto"/>
      </w:pPr>
      <w:r>
        <w:separator/>
      </w:r>
    </w:p>
  </w:endnote>
  <w:endnote w:type="continuationSeparator" w:id="0">
    <w:p w14:paraId="70EC8BEE" w14:textId="77777777" w:rsidR="00F16600" w:rsidRDefault="00F16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16397" w14:textId="77777777" w:rsidR="00F16600" w:rsidRDefault="00F16600">
      <w:pPr>
        <w:spacing w:after="0" w:line="240" w:lineRule="auto"/>
      </w:pPr>
      <w:r>
        <w:separator/>
      </w:r>
    </w:p>
  </w:footnote>
  <w:footnote w:type="continuationSeparator" w:id="0">
    <w:p w14:paraId="2D814A0B" w14:textId="77777777" w:rsidR="00F16600" w:rsidRDefault="00F16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75CC4" w14:textId="707892E4" w:rsidR="00AC2A97" w:rsidRPr="00AC2A97" w:rsidRDefault="00B31EE2" w:rsidP="00AC2A97">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w:t>
    </w:r>
    <w:r w:rsidRPr="00AC2A97">
      <w:rPr>
        <w:rFonts w:ascii="Times New Roman" w:hAnsi="Times New Roman" w:cs="Times New Roman"/>
        <w:sz w:val="24"/>
        <w:szCs w:val="24"/>
      </w:rPr>
      <w:t>CONNECTIVE</w:t>
    </w:r>
    <w:r w:rsidRPr="00AC2A97">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1101566560"/>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sidR="00CB2588">
          <w:rPr>
            <w:rFonts w:ascii="Times New Roman" w:hAnsi="Times New Roman" w:cs="Times New Roman"/>
            <w:noProof/>
            <w:sz w:val="24"/>
            <w:szCs w:val="24"/>
          </w:rPr>
          <w:t>3</w:t>
        </w:r>
        <w:r w:rsidRPr="00AC2A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085B1" w14:textId="68E8DF2C" w:rsidR="00AC2A97" w:rsidRPr="00AC2A97" w:rsidRDefault="00B31EE2" w:rsidP="00AC2A97">
    <w:pPr>
      <w:pStyle w:val="Header"/>
      <w:jc w:val="right"/>
      <w:rPr>
        <w:rFonts w:ascii="Times New Roman" w:hAnsi="Times New Roman" w:cs="Times New Roman"/>
        <w:sz w:val="24"/>
        <w:szCs w:val="24"/>
      </w:rPr>
    </w:pPr>
    <w:r w:rsidRPr="00AC2A97">
      <w:rPr>
        <w:rFonts w:ascii="Times New Roman" w:hAnsi="Times New Roman" w:cs="Times New Roman"/>
        <w:sz w:val="24"/>
        <w:szCs w:val="24"/>
      </w:rPr>
      <w:t xml:space="preserve">Running head: </w:t>
    </w:r>
    <w:r w:rsidR="00CE0A38">
      <w:rPr>
        <w:rFonts w:ascii="Times New Roman" w:hAnsi="Times New Roman" w:cs="Times New Roman"/>
        <w:sz w:val="24"/>
        <w:szCs w:val="24"/>
      </w:rPr>
      <w:t xml:space="preserve">THE </w:t>
    </w:r>
    <w:r w:rsidRPr="00AC2A97">
      <w:rPr>
        <w:rFonts w:ascii="Times New Roman" w:hAnsi="Times New Roman" w:cs="Times New Roman"/>
        <w:sz w:val="24"/>
        <w:szCs w:val="24"/>
      </w:rPr>
      <w:t>CONNECTIVE</w:t>
    </w:r>
    <w:r>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515036121"/>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sidR="00CB2588">
          <w:rPr>
            <w:rFonts w:ascii="Times New Roman" w:hAnsi="Times New Roman" w:cs="Times New Roman"/>
            <w:noProof/>
            <w:sz w:val="24"/>
            <w:szCs w:val="24"/>
          </w:rPr>
          <w:t>1</w:t>
        </w:r>
        <w:r w:rsidRPr="00AC2A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AE4"/>
    <w:rsid w:val="00041C81"/>
    <w:rsid w:val="000C6AE4"/>
    <w:rsid w:val="00175BD0"/>
    <w:rsid w:val="002078A9"/>
    <w:rsid w:val="00212717"/>
    <w:rsid w:val="002630D5"/>
    <w:rsid w:val="002C28F1"/>
    <w:rsid w:val="00352994"/>
    <w:rsid w:val="003F3387"/>
    <w:rsid w:val="00425931"/>
    <w:rsid w:val="00462C81"/>
    <w:rsid w:val="00473EC7"/>
    <w:rsid w:val="00500097"/>
    <w:rsid w:val="00574DB4"/>
    <w:rsid w:val="005800D2"/>
    <w:rsid w:val="006247B7"/>
    <w:rsid w:val="00637E76"/>
    <w:rsid w:val="006A20B9"/>
    <w:rsid w:val="00704D72"/>
    <w:rsid w:val="008013F9"/>
    <w:rsid w:val="008150DA"/>
    <w:rsid w:val="008D46A9"/>
    <w:rsid w:val="009C23CF"/>
    <w:rsid w:val="00AC2A97"/>
    <w:rsid w:val="00AC4A85"/>
    <w:rsid w:val="00B31EE2"/>
    <w:rsid w:val="00B357B1"/>
    <w:rsid w:val="00B77511"/>
    <w:rsid w:val="00BF24B5"/>
    <w:rsid w:val="00C345FA"/>
    <w:rsid w:val="00CB2588"/>
    <w:rsid w:val="00CE0A38"/>
    <w:rsid w:val="00D30DA3"/>
    <w:rsid w:val="00DF6E06"/>
    <w:rsid w:val="00E03FAF"/>
    <w:rsid w:val="00E93B9C"/>
    <w:rsid w:val="00F16600"/>
    <w:rsid w:val="00FE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5D5D9"/>
  <w15:docId w15:val="{AD35CC8F-E769-4361-9CCE-4A798DA3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A97"/>
  </w:style>
  <w:style w:type="paragraph" w:styleId="Footer">
    <w:name w:val="footer"/>
    <w:basedOn w:val="Normal"/>
    <w:link w:val="FooterChar"/>
    <w:uiPriority w:val="99"/>
    <w:unhideWhenUsed/>
    <w:rsid w:val="00AC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3064</Words>
  <Characters>17466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Mytaylor880@outlook.com</dc:creator>
  <cp:lastModifiedBy>Windows User</cp:lastModifiedBy>
  <cp:revision>2</cp:revision>
  <dcterms:created xsi:type="dcterms:W3CDTF">2019-03-29T20:26:00Z</dcterms:created>
  <dcterms:modified xsi:type="dcterms:W3CDTF">2019-03-29T20:26:00Z</dcterms:modified>
</cp:coreProperties>
</file>